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0650E6">
        <w:rPr>
          <w:sz w:val="28"/>
        </w:rPr>
        <w:t>Wahl</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0650E6" w:rsidTr="000650E6">
        <w:tc>
          <w:tcPr>
            <w:tcW w:w="2466" w:type="dxa"/>
            <w:vAlign w:val="center"/>
          </w:tcPr>
          <w:p w:rsidR="000650E6" w:rsidRPr="00A069A7" w:rsidRDefault="000650E6" w:rsidP="00C14828">
            <w:pPr>
              <w:pStyle w:val="IQB-Merkmal"/>
            </w:pPr>
            <w:r w:rsidRPr="00A069A7">
              <w:t>Leitidee</w:t>
            </w:r>
          </w:p>
        </w:tc>
        <w:tc>
          <w:tcPr>
            <w:tcW w:w="6604" w:type="dxa"/>
          </w:tcPr>
          <w:p w:rsidR="000650E6" w:rsidRPr="00A069A7" w:rsidRDefault="000650E6" w:rsidP="00C14828">
            <w:pPr>
              <w:pStyle w:val="IQB-Merkmalswert"/>
              <w:rPr>
                <w:sz w:val="22"/>
                <w:szCs w:val="22"/>
              </w:rPr>
            </w:pPr>
            <w:r w:rsidRPr="00A069A7">
              <w:rPr>
                <w:sz w:val="22"/>
                <w:szCs w:val="22"/>
              </w:rPr>
              <w:t>Zahl (L1)</w:t>
            </w:r>
          </w:p>
        </w:tc>
      </w:tr>
      <w:tr w:rsidR="000650E6" w:rsidTr="000650E6">
        <w:tc>
          <w:tcPr>
            <w:tcW w:w="2466" w:type="dxa"/>
            <w:vAlign w:val="center"/>
          </w:tcPr>
          <w:p w:rsidR="000650E6" w:rsidRPr="00A069A7" w:rsidRDefault="000650E6" w:rsidP="00C14828">
            <w:pPr>
              <w:pStyle w:val="IQB-Merkmal"/>
            </w:pPr>
            <w:r w:rsidRPr="00A069A7">
              <w:t>Allgemeine Kompetenzen</w:t>
            </w:r>
          </w:p>
        </w:tc>
        <w:tc>
          <w:tcPr>
            <w:tcW w:w="6604" w:type="dxa"/>
          </w:tcPr>
          <w:p w:rsidR="000650E6" w:rsidRDefault="000650E6" w:rsidP="00C14828">
            <w:pPr>
              <w:pStyle w:val="IQB-Merkmalswert"/>
              <w:rPr>
                <w:sz w:val="22"/>
                <w:szCs w:val="22"/>
              </w:rPr>
            </w:pPr>
            <w:r w:rsidRPr="00A069A7">
              <w:rPr>
                <w:sz w:val="22"/>
                <w:szCs w:val="22"/>
              </w:rPr>
              <w:t>Mathematisch</w:t>
            </w:r>
            <w:r>
              <w:rPr>
                <w:sz w:val="22"/>
                <w:szCs w:val="22"/>
              </w:rPr>
              <w:t>e Darstellungen verwenden (K4)</w:t>
            </w:r>
          </w:p>
          <w:p w:rsidR="000650E6" w:rsidRPr="00A069A7" w:rsidRDefault="000650E6" w:rsidP="00C14828">
            <w:pPr>
              <w:pStyle w:val="IQB-Merkmalswert"/>
              <w:rPr>
                <w:sz w:val="22"/>
                <w:szCs w:val="22"/>
              </w:rPr>
            </w:pPr>
            <w:r w:rsidRPr="00A069A7">
              <w:rPr>
                <w:sz w:val="22"/>
                <w:szCs w:val="22"/>
              </w:rPr>
              <w:t>Mit symbolischen, formalen und technischen Elementen der Mathematik umgehen (K5)</w:t>
            </w:r>
          </w:p>
        </w:tc>
      </w:tr>
      <w:tr w:rsidR="000650E6" w:rsidTr="000650E6">
        <w:tc>
          <w:tcPr>
            <w:tcW w:w="2466" w:type="dxa"/>
            <w:vAlign w:val="center"/>
          </w:tcPr>
          <w:p w:rsidR="000650E6" w:rsidRPr="00A069A7" w:rsidRDefault="000650E6" w:rsidP="00C14828">
            <w:pPr>
              <w:pStyle w:val="IQB-Merkmal"/>
            </w:pPr>
            <w:r w:rsidRPr="00A069A7">
              <w:t>Anforderungsbereich</w:t>
            </w:r>
          </w:p>
        </w:tc>
        <w:tc>
          <w:tcPr>
            <w:tcW w:w="6604" w:type="dxa"/>
          </w:tcPr>
          <w:p w:rsidR="000650E6" w:rsidRPr="00A069A7" w:rsidRDefault="000650E6" w:rsidP="00C14828">
            <w:pPr>
              <w:pStyle w:val="IQB-Merkmalswert"/>
              <w:rPr>
                <w:sz w:val="22"/>
                <w:szCs w:val="22"/>
              </w:rPr>
            </w:pPr>
            <w:r w:rsidRPr="00A069A7">
              <w:rPr>
                <w:sz w:val="22"/>
                <w:szCs w:val="22"/>
              </w:rPr>
              <w:t>I</w:t>
            </w:r>
          </w:p>
        </w:tc>
      </w:tr>
      <w:tr w:rsidR="000650E6" w:rsidTr="000650E6">
        <w:tc>
          <w:tcPr>
            <w:tcW w:w="2466" w:type="dxa"/>
            <w:vAlign w:val="center"/>
          </w:tcPr>
          <w:p w:rsidR="000650E6" w:rsidRPr="00A069A7" w:rsidRDefault="000650E6" w:rsidP="00C14828">
            <w:pPr>
              <w:pStyle w:val="IQB-Merkmal"/>
            </w:pPr>
            <w:r w:rsidRPr="00A069A7">
              <w:t>Kompetenzstufe</w:t>
            </w:r>
          </w:p>
        </w:tc>
        <w:tc>
          <w:tcPr>
            <w:tcW w:w="6604" w:type="dxa"/>
          </w:tcPr>
          <w:p w:rsidR="000650E6" w:rsidRPr="00A069A7" w:rsidRDefault="000650E6" w:rsidP="00C14828">
            <w:pPr>
              <w:pStyle w:val="IQB-Merkmalswert"/>
              <w:rPr>
                <w:sz w:val="22"/>
                <w:szCs w:val="22"/>
              </w:rPr>
            </w:pPr>
            <w:r w:rsidRPr="00A069A7">
              <w:rPr>
                <w:sz w:val="22"/>
                <w:szCs w:val="22"/>
              </w:rPr>
              <w:t>1b</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0650E6" w:rsidTr="000650E6">
        <w:tc>
          <w:tcPr>
            <w:tcW w:w="2466" w:type="dxa"/>
            <w:vAlign w:val="center"/>
          </w:tcPr>
          <w:p w:rsidR="000650E6" w:rsidRPr="00A069A7" w:rsidRDefault="000650E6" w:rsidP="00C14828">
            <w:pPr>
              <w:pStyle w:val="IQB-Merkmal"/>
            </w:pPr>
            <w:r w:rsidRPr="00A069A7">
              <w:t>Leitidee</w:t>
            </w:r>
          </w:p>
        </w:tc>
        <w:tc>
          <w:tcPr>
            <w:tcW w:w="6604" w:type="dxa"/>
          </w:tcPr>
          <w:p w:rsidR="000650E6" w:rsidRPr="00A069A7" w:rsidRDefault="000650E6" w:rsidP="00C14828">
            <w:pPr>
              <w:pStyle w:val="IQB-Merkmalswert"/>
              <w:rPr>
                <w:sz w:val="22"/>
                <w:szCs w:val="22"/>
              </w:rPr>
            </w:pPr>
            <w:r w:rsidRPr="00A069A7">
              <w:rPr>
                <w:sz w:val="22"/>
                <w:szCs w:val="22"/>
              </w:rPr>
              <w:t>Zahl (L1)</w:t>
            </w:r>
          </w:p>
        </w:tc>
      </w:tr>
      <w:tr w:rsidR="000650E6" w:rsidTr="000650E6">
        <w:tc>
          <w:tcPr>
            <w:tcW w:w="2466" w:type="dxa"/>
            <w:vAlign w:val="center"/>
          </w:tcPr>
          <w:p w:rsidR="000650E6" w:rsidRPr="00A069A7" w:rsidRDefault="000650E6" w:rsidP="00C14828">
            <w:pPr>
              <w:pStyle w:val="IQB-Merkmal"/>
            </w:pPr>
            <w:r w:rsidRPr="00A069A7">
              <w:t>Allgemeine Kompetenzen</w:t>
            </w:r>
          </w:p>
        </w:tc>
        <w:tc>
          <w:tcPr>
            <w:tcW w:w="6604" w:type="dxa"/>
          </w:tcPr>
          <w:p w:rsidR="000650E6" w:rsidRPr="00A069A7" w:rsidRDefault="000650E6" w:rsidP="00C14828">
            <w:pPr>
              <w:pStyle w:val="IQB-Merkmalswert"/>
              <w:rPr>
                <w:sz w:val="22"/>
                <w:szCs w:val="22"/>
              </w:rPr>
            </w:pPr>
            <w:r w:rsidRPr="00A069A7">
              <w:rPr>
                <w:sz w:val="22"/>
                <w:szCs w:val="22"/>
              </w:rPr>
              <w:t>Mit symbolischen, formalen und technischen Elementen der Mathematik umg</w:t>
            </w:r>
            <w:r w:rsidRPr="00A069A7">
              <w:rPr>
                <w:sz w:val="22"/>
                <w:szCs w:val="22"/>
              </w:rPr>
              <w:t>e</w:t>
            </w:r>
            <w:r w:rsidRPr="00A069A7">
              <w:rPr>
                <w:sz w:val="22"/>
                <w:szCs w:val="22"/>
              </w:rPr>
              <w:t>hen (K5)</w:t>
            </w:r>
          </w:p>
        </w:tc>
      </w:tr>
      <w:tr w:rsidR="000650E6" w:rsidTr="000650E6">
        <w:tc>
          <w:tcPr>
            <w:tcW w:w="2466" w:type="dxa"/>
            <w:vAlign w:val="center"/>
          </w:tcPr>
          <w:p w:rsidR="000650E6" w:rsidRPr="00A069A7" w:rsidRDefault="000650E6" w:rsidP="00C14828">
            <w:pPr>
              <w:pStyle w:val="IQB-Merkmal"/>
            </w:pPr>
            <w:r w:rsidRPr="00A069A7">
              <w:t>Anforderungsbereich</w:t>
            </w:r>
          </w:p>
        </w:tc>
        <w:tc>
          <w:tcPr>
            <w:tcW w:w="6604" w:type="dxa"/>
          </w:tcPr>
          <w:p w:rsidR="000650E6" w:rsidRPr="00A069A7" w:rsidRDefault="000650E6" w:rsidP="00C14828">
            <w:pPr>
              <w:pStyle w:val="IQB-Merkmalswert"/>
              <w:rPr>
                <w:sz w:val="22"/>
                <w:szCs w:val="22"/>
              </w:rPr>
            </w:pPr>
            <w:r w:rsidRPr="00A069A7">
              <w:rPr>
                <w:sz w:val="22"/>
                <w:szCs w:val="22"/>
              </w:rPr>
              <w:t>I</w:t>
            </w:r>
          </w:p>
        </w:tc>
      </w:tr>
      <w:tr w:rsidR="000650E6" w:rsidTr="000650E6">
        <w:tc>
          <w:tcPr>
            <w:tcW w:w="2466" w:type="dxa"/>
            <w:vAlign w:val="center"/>
          </w:tcPr>
          <w:p w:rsidR="000650E6" w:rsidRPr="00A069A7" w:rsidRDefault="000650E6" w:rsidP="00C14828">
            <w:pPr>
              <w:pStyle w:val="IQB-Merkmal"/>
            </w:pPr>
            <w:r w:rsidRPr="00A069A7">
              <w:t>Kompetenzstufe</w:t>
            </w:r>
          </w:p>
        </w:tc>
        <w:tc>
          <w:tcPr>
            <w:tcW w:w="6604" w:type="dxa"/>
          </w:tcPr>
          <w:p w:rsidR="000650E6" w:rsidRPr="00A069A7" w:rsidRDefault="000650E6" w:rsidP="00C14828">
            <w:pPr>
              <w:pStyle w:val="IQB-Merkmalswert"/>
              <w:rPr>
                <w:sz w:val="22"/>
                <w:szCs w:val="22"/>
              </w:rPr>
            </w:pPr>
            <w:r w:rsidRPr="00A069A7">
              <w:rPr>
                <w:sz w:val="22"/>
                <w:szCs w:val="22"/>
              </w:rPr>
              <w:t>3</w:t>
            </w:r>
          </w:p>
        </w:tc>
      </w:tr>
    </w:tbl>
    <w:p w:rsidR="00694A63" w:rsidRPr="00694A63" w:rsidRDefault="00694A63" w:rsidP="00694A63">
      <w:pPr>
        <w:pStyle w:val="IQB-Teilaufgabentitel"/>
        <w:rPr>
          <w:b/>
        </w:rPr>
      </w:pPr>
      <w:r w:rsidRPr="00694A63">
        <w:rPr>
          <w:b/>
        </w:rPr>
        <w:t>Aufgabenbezogener Kommentar</w:t>
      </w:r>
    </w:p>
    <w:p w:rsidR="000650E6" w:rsidRPr="000650E6" w:rsidRDefault="000650E6" w:rsidP="000650E6">
      <w:pPr>
        <w:jc w:val="both"/>
        <w:rPr>
          <w:rFonts w:ascii="Arial" w:hAnsi="Arial"/>
          <w:sz w:val="22"/>
          <w:szCs w:val="22"/>
        </w:rPr>
      </w:pPr>
      <w:r w:rsidRPr="000650E6">
        <w:rPr>
          <w:rFonts w:ascii="Arial" w:hAnsi="Arial"/>
          <w:sz w:val="22"/>
          <w:szCs w:val="22"/>
        </w:rPr>
        <w:t xml:space="preserve">In der Aufgabe „Wahl“ werden Inhalte aus der Prozentrechnung geprüft. Daher gehört diese Aufgabe zur Leitidee </w:t>
      </w:r>
      <w:r w:rsidRPr="000650E6">
        <w:rPr>
          <w:rFonts w:ascii="Arial" w:hAnsi="Arial"/>
          <w:i/>
          <w:sz w:val="22"/>
          <w:szCs w:val="22"/>
        </w:rPr>
        <w:t>Zahl</w:t>
      </w:r>
      <w:r w:rsidRPr="000650E6">
        <w:rPr>
          <w:rFonts w:ascii="Arial" w:hAnsi="Arial"/>
          <w:sz w:val="22"/>
          <w:szCs w:val="22"/>
        </w:rPr>
        <w:t> (L1).</w:t>
      </w:r>
    </w:p>
    <w:p w:rsidR="000650E6" w:rsidRPr="000650E6" w:rsidRDefault="000650E6" w:rsidP="000650E6">
      <w:pPr>
        <w:jc w:val="both"/>
        <w:rPr>
          <w:rFonts w:ascii="Arial" w:hAnsi="Arial"/>
          <w:sz w:val="22"/>
          <w:szCs w:val="22"/>
        </w:rPr>
      </w:pPr>
    </w:p>
    <w:p w:rsidR="000650E6" w:rsidRPr="000650E6" w:rsidRDefault="000650E6" w:rsidP="000650E6">
      <w:pPr>
        <w:jc w:val="both"/>
        <w:rPr>
          <w:rFonts w:ascii="Arial" w:hAnsi="Arial"/>
          <w:sz w:val="22"/>
          <w:szCs w:val="22"/>
        </w:rPr>
      </w:pPr>
      <w:r w:rsidRPr="000650E6">
        <w:rPr>
          <w:rFonts w:ascii="Arial" w:hAnsi="Arial"/>
          <w:sz w:val="22"/>
          <w:szCs w:val="22"/>
        </w:rPr>
        <w:t>In Teilaufgabe 1 werden die Prozentangaben in der Abbildung betrachtet und addiert bzw. von 100</w:t>
      </w:r>
      <w:r w:rsidRPr="000650E6">
        <w:rPr>
          <w:rFonts w:ascii="Arial" w:hAnsi="Arial"/>
          <w:w w:val="50"/>
          <w:sz w:val="22"/>
          <w:szCs w:val="22"/>
        </w:rPr>
        <w:t> </w:t>
      </w:r>
      <w:r w:rsidRPr="000650E6">
        <w:rPr>
          <w:rFonts w:ascii="Arial" w:hAnsi="Arial"/>
          <w:sz w:val="22"/>
          <w:szCs w:val="22"/>
        </w:rPr>
        <w:t>% subtrahiert, um so herauszufinden, wie viel Prozent zu 100</w:t>
      </w:r>
      <w:r w:rsidRPr="000650E6">
        <w:rPr>
          <w:rFonts w:ascii="Arial" w:hAnsi="Arial"/>
          <w:w w:val="50"/>
          <w:sz w:val="22"/>
          <w:szCs w:val="22"/>
        </w:rPr>
        <w:t> </w:t>
      </w:r>
      <w:r w:rsidRPr="000650E6">
        <w:rPr>
          <w:rFonts w:ascii="Arial" w:hAnsi="Arial"/>
          <w:sz w:val="22"/>
          <w:szCs w:val="22"/>
        </w:rPr>
        <w:t xml:space="preserve">% fehlen. Daher wird hier die Kompetenz </w:t>
      </w:r>
      <w:r w:rsidRPr="000650E6">
        <w:rPr>
          <w:rFonts w:ascii="Arial" w:hAnsi="Arial"/>
          <w:i/>
          <w:sz w:val="22"/>
          <w:szCs w:val="22"/>
        </w:rPr>
        <w:t>Mathematische Darstellungen verwenden</w:t>
      </w:r>
      <w:r w:rsidRPr="000650E6">
        <w:rPr>
          <w:rFonts w:ascii="Arial" w:hAnsi="Arial"/>
          <w:sz w:val="22"/>
          <w:szCs w:val="22"/>
        </w:rPr>
        <w:t xml:space="preserve"> (K4) vorausgesetzt. In beiden Teilaufgaben wird eine Prozentrechnung durchgeführt. Daher wird in beiden Teilaufgaben die Kompetenz </w:t>
      </w:r>
      <w:r w:rsidRPr="000650E6">
        <w:rPr>
          <w:rFonts w:ascii="Arial" w:hAnsi="Arial"/>
          <w:i/>
          <w:sz w:val="22"/>
          <w:szCs w:val="22"/>
        </w:rPr>
        <w:t>Mit symbolischen, formalen und technischen Elementen der Mathematik umgehen</w:t>
      </w:r>
      <w:r w:rsidRPr="000650E6">
        <w:rPr>
          <w:rFonts w:ascii="Arial" w:hAnsi="Arial"/>
          <w:sz w:val="22"/>
          <w:szCs w:val="22"/>
        </w:rPr>
        <w:t> (K5) verlangt.</w:t>
      </w:r>
    </w:p>
    <w:p w:rsidR="000650E6" w:rsidRPr="000650E6" w:rsidRDefault="000650E6" w:rsidP="000650E6">
      <w:pPr>
        <w:jc w:val="both"/>
        <w:rPr>
          <w:rFonts w:ascii="Arial" w:hAnsi="Arial"/>
          <w:sz w:val="22"/>
          <w:szCs w:val="22"/>
        </w:rPr>
      </w:pPr>
    </w:p>
    <w:p w:rsidR="000650E6" w:rsidRPr="000650E6" w:rsidRDefault="000650E6" w:rsidP="000650E6">
      <w:pPr>
        <w:jc w:val="both"/>
        <w:rPr>
          <w:rFonts w:ascii="Arial" w:hAnsi="Arial"/>
          <w:sz w:val="22"/>
          <w:szCs w:val="22"/>
        </w:rPr>
      </w:pPr>
      <w:r w:rsidRPr="000650E6">
        <w:rPr>
          <w:rFonts w:ascii="Arial" w:hAnsi="Arial"/>
          <w:sz w:val="22"/>
          <w:szCs w:val="22"/>
        </w:rPr>
        <w:t>Da in der gesamten Aufgabe lediglich eine vertraute Darstellung verwendet wird und nur rechnerische Routineverfahren anzuwenden sind, werden beide Teilaufgaben dem Anforderungs</w:t>
      </w:r>
      <w:r>
        <w:rPr>
          <w:rFonts w:ascii="Arial" w:hAnsi="Arial"/>
          <w:sz w:val="22"/>
          <w:szCs w:val="22"/>
        </w:rPr>
        <w:t>-</w:t>
      </w:r>
      <w:r w:rsidRPr="000650E6">
        <w:rPr>
          <w:rFonts w:ascii="Arial" w:hAnsi="Arial"/>
          <w:sz w:val="22"/>
          <w:szCs w:val="22"/>
        </w:rPr>
        <w:t>bereich I zugeordnet.</w:t>
      </w:r>
    </w:p>
    <w:p w:rsidR="00694A63" w:rsidRPr="00694A63" w:rsidRDefault="00694A63" w:rsidP="00694A63">
      <w:pPr>
        <w:pStyle w:val="IQB-Teilaufgabentitel"/>
        <w:rPr>
          <w:b/>
        </w:rPr>
      </w:pPr>
      <w:r w:rsidRPr="00694A63">
        <w:rPr>
          <w:b/>
        </w:rPr>
        <w:t>Anregungen für den Unterricht</w:t>
      </w:r>
    </w:p>
    <w:p w:rsidR="000650E6" w:rsidRPr="000650E6" w:rsidRDefault="000650E6" w:rsidP="000650E6">
      <w:pPr>
        <w:jc w:val="both"/>
        <w:rPr>
          <w:rFonts w:ascii="Arial" w:hAnsi="Arial"/>
          <w:sz w:val="22"/>
          <w:szCs w:val="22"/>
        </w:rPr>
      </w:pPr>
      <w:r w:rsidRPr="000650E6">
        <w:rPr>
          <w:rFonts w:ascii="Arial" w:hAnsi="Arial"/>
          <w:sz w:val="22"/>
          <w:szCs w:val="22"/>
        </w:rPr>
        <w:t xml:space="preserve">Der Kontext „Wahlen“ bietet vielfältige Möglichkeiten, um Mathematik realitätsnah zu betreiben. Zu diesem Kontext können authentische, relevante und lebensnahe Aufgaben formuliert werden. Dadurch können gleich mehrere Anforderungen erfüllt werden, die an realitätsnahe Aufgaben für den Unterricht gestellt werden. Wahlergebnisse aus Diagrammen ablesen und interpretieren zu können gehört vermutlich zu den Anforderungen, die an jede Bürgerin und jeden Bürger gestellt werden. Auch deshalb ist dieser Kontext aus didaktischer Sicht von Interesse, trägt dessen mathematische Durchdringung doch zur Ausbildung grundlegender bürgerlicher Fähigkeiten und zur Allgemeinbildung bei. Konzentriert man sich bei der Behandlung im Unterricht auf Fragestellungen zu Prozentangaben und der Prozentrechnung, werden Inhalte der Leitidee </w:t>
      </w:r>
      <w:r w:rsidRPr="000650E6">
        <w:rPr>
          <w:rFonts w:ascii="Arial" w:hAnsi="Arial"/>
          <w:i/>
          <w:sz w:val="22"/>
          <w:szCs w:val="22"/>
        </w:rPr>
        <w:t>Zahl </w:t>
      </w:r>
      <w:r w:rsidRPr="000650E6">
        <w:rPr>
          <w:rFonts w:ascii="Arial" w:hAnsi="Arial"/>
          <w:sz w:val="22"/>
          <w:szCs w:val="22"/>
        </w:rPr>
        <w:t xml:space="preserve">(L1) betont. Konzentriert man sich hingegen auf statistische Fragestellungen (z. B. Stichprobe und Kennwerte) und auf die grafische Aufbereitung von Daten, die vor und nach Wahltagen erhoben werden, hebt man Inhalte der Leitidee </w:t>
      </w:r>
      <w:r w:rsidRPr="000650E6">
        <w:rPr>
          <w:rFonts w:ascii="Arial" w:hAnsi="Arial"/>
          <w:i/>
          <w:sz w:val="22"/>
          <w:szCs w:val="22"/>
        </w:rPr>
        <w:t>Daten und Zufall</w:t>
      </w:r>
      <w:r w:rsidRPr="000650E6">
        <w:rPr>
          <w:rFonts w:ascii="Arial" w:hAnsi="Arial"/>
          <w:sz w:val="22"/>
          <w:szCs w:val="22"/>
        </w:rPr>
        <w:t> (L5) hervor.</w:t>
      </w:r>
    </w:p>
    <w:p w:rsidR="000650E6" w:rsidRPr="000650E6" w:rsidRDefault="000650E6" w:rsidP="000650E6">
      <w:pPr>
        <w:jc w:val="both"/>
        <w:rPr>
          <w:rFonts w:ascii="Arial" w:hAnsi="Arial"/>
          <w:sz w:val="22"/>
          <w:szCs w:val="22"/>
        </w:rPr>
      </w:pPr>
    </w:p>
    <w:p w:rsidR="000650E6" w:rsidRPr="000650E6" w:rsidRDefault="000650E6" w:rsidP="000650E6">
      <w:pPr>
        <w:jc w:val="both"/>
        <w:rPr>
          <w:rFonts w:ascii="Arial" w:hAnsi="Arial"/>
          <w:sz w:val="22"/>
          <w:szCs w:val="22"/>
          <w:shd w:val="clear" w:color="auto" w:fill="FFFFFF"/>
        </w:rPr>
      </w:pPr>
      <w:r w:rsidRPr="000650E6">
        <w:rPr>
          <w:rFonts w:ascii="Arial" w:hAnsi="Arial"/>
          <w:sz w:val="22"/>
          <w:szCs w:val="22"/>
        </w:rPr>
        <w:t xml:space="preserve">In der Aufgabe „Wahl“ wurden Inhalte aus der Prozentrechnung in den Vordergrund gestellt, weshalb die Aufgabe der Leitidee </w:t>
      </w:r>
      <w:r w:rsidRPr="000650E6">
        <w:rPr>
          <w:rFonts w:ascii="Arial" w:hAnsi="Arial"/>
          <w:i/>
          <w:sz w:val="22"/>
          <w:szCs w:val="22"/>
        </w:rPr>
        <w:t>Zahl </w:t>
      </w:r>
      <w:r w:rsidRPr="000650E6">
        <w:rPr>
          <w:rFonts w:ascii="Arial" w:hAnsi="Arial"/>
          <w:sz w:val="22"/>
          <w:szCs w:val="22"/>
        </w:rPr>
        <w:t>(L1) zugeordnet wird. In dieser Hinsicht lassen sich weitere Aufgaben generieren, die auch auf höhere Anforderungsbereiche abzielen, indem beispielsweise Aussagen bewertet werden müssen. Die folgende Aufgabe kann dafür als Beispiel dienen</w:t>
      </w:r>
      <w:r w:rsidRPr="000650E6">
        <w:rPr>
          <w:rFonts w:ascii="Arial" w:hAnsi="Arial"/>
          <w:sz w:val="22"/>
          <w:szCs w:val="22"/>
          <w:shd w:val="clear" w:color="auto" w:fill="FFFFFF"/>
        </w:rPr>
        <w:t>:</w:t>
      </w:r>
    </w:p>
    <w:p w:rsidR="000650E6" w:rsidRPr="000650E6" w:rsidRDefault="000650E6" w:rsidP="000650E6">
      <w:pPr>
        <w:jc w:val="both"/>
        <w:rPr>
          <w:rFonts w:ascii="Arial" w:hAnsi="Arial"/>
          <w:sz w:val="22"/>
          <w:szCs w:val="22"/>
          <w:shd w:val="clear" w:color="auto" w:fill="FFFFFF"/>
        </w:rPr>
      </w:pPr>
    </w:p>
    <w:p w:rsidR="000650E6" w:rsidRDefault="000650E6" w:rsidP="000650E6">
      <w:pPr>
        <w:jc w:val="both"/>
        <w:rPr>
          <w:rFonts w:ascii="Arial" w:hAnsi="Arial"/>
          <w:b/>
          <w:sz w:val="22"/>
          <w:szCs w:val="22"/>
          <w:shd w:val="clear" w:color="auto" w:fill="FFFFFF"/>
        </w:rPr>
      </w:pPr>
    </w:p>
    <w:p w:rsidR="000650E6" w:rsidRDefault="000650E6" w:rsidP="000650E6">
      <w:pPr>
        <w:jc w:val="both"/>
        <w:rPr>
          <w:rFonts w:ascii="Arial" w:hAnsi="Arial"/>
          <w:b/>
          <w:sz w:val="22"/>
          <w:szCs w:val="22"/>
          <w:shd w:val="clear" w:color="auto" w:fill="FFFFFF"/>
        </w:rPr>
      </w:pPr>
    </w:p>
    <w:p w:rsidR="000650E6" w:rsidRDefault="000650E6" w:rsidP="000650E6">
      <w:pPr>
        <w:jc w:val="both"/>
        <w:rPr>
          <w:rFonts w:ascii="Arial" w:hAnsi="Arial"/>
          <w:b/>
          <w:sz w:val="22"/>
          <w:szCs w:val="22"/>
          <w:shd w:val="clear" w:color="auto" w:fill="FFFFFF"/>
        </w:rPr>
      </w:pPr>
    </w:p>
    <w:p w:rsidR="000650E6" w:rsidRPr="000650E6" w:rsidRDefault="000650E6" w:rsidP="000650E6">
      <w:pPr>
        <w:jc w:val="both"/>
        <w:rPr>
          <w:rFonts w:ascii="Arial" w:hAnsi="Arial"/>
          <w:b/>
          <w:sz w:val="22"/>
          <w:szCs w:val="22"/>
        </w:rPr>
      </w:pPr>
      <w:r w:rsidRPr="000650E6">
        <w:rPr>
          <w:rFonts w:ascii="Arial" w:hAnsi="Arial"/>
          <w:b/>
          <w:sz w:val="22"/>
          <w:szCs w:val="22"/>
          <w:shd w:val="clear" w:color="auto" w:fill="FFFFFF"/>
        </w:rPr>
        <w:lastRenderedPageBreak/>
        <w:t>Beispielaufgabe</w:t>
      </w:r>
    </w:p>
    <w:p w:rsidR="000650E6" w:rsidRPr="000650E6" w:rsidRDefault="000650E6" w:rsidP="000650E6">
      <w:pPr>
        <w:widowControl w:val="0"/>
        <w:spacing w:before="120" w:after="120"/>
        <w:rPr>
          <w:rFonts w:ascii="Arial" w:hAnsi="Arial"/>
          <w:sz w:val="22"/>
          <w:szCs w:val="22"/>
          <w:lang w:val="x-none" w:eastAsia="x-none"/>
        </w:rPr>
      </w:pPr>
      <w:r w:rsidRPr="000650E6">
        <w:rPr>
          <w:rFonts w:ascii="Arial" w:hAnsi="Arial"/>
          <w:noProof/>
          <w:szCs w:val="20"/>
        </w:rPr>
        <w:drawing>
          <wp:inline distT="0" distB="0" distL="0" distR="0">
            <wp:extent cx="4316730" cy="2392045"/>
            <wp:effectExtent l="0" t="0" r="7620" b="825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6730" cy="2392045"/>
                    </a:xfrm>
                    <a:prstGeom prst="rect">
                      <a:avLst/>
                    </a:prstGeom>
                    <a:noFill/>
                    <a:ln>
                      <a:noFill/>
                    </a:ln>
                  </pic:spPr>
                </pic:pic>
              </a:graphicData>
            </a:graphic>
          </wp:inline>
        </w:drawing>
      </w:r>
    </w:p>
    <w:p w:rsidR="000650E6" w:rsidRPr="000650E6" w:rsidRDefault="000650E6" w:rsidP="000650E6">
      <w:pPr>
        <w:widowControl w:val="0"/>
        <w:spacing w:after="120"/>
        <w:jc w:val="both"/>
        <w:rPr>
          <w:rFonts w:ascii="Arial" w:hAnsi="Arial"/>
          <w:sz w:val="22"/>
          <w:szCs w:val="22"/>
          <w:lang w:val="x-none" w:eastAsia="x-none"/>
        </w:rPr>
      </w:pPr>
      <w:r w:rsidRPr="000650E6">
        <w:rPr>
          <w:rFonts w:ascii="Arial" w:hAnsi="Arial"/>
          <w:sz w:val="22"/>
          <w:szCs w:val="22"/>
          <w:lang w:val="x-none" w:eastAsia="x-none"/>
        </w:rPr>
        <w:t xml:space="preserve">Bei der Darstellung von Wahlergebnissen kommt es, insbesondere kurz nach einer Wahl, darauf an, die Ergebnisse grafisch so darzustellen, dass wesentliche Aspekte der Wahlergebnisse leicht erfasst werden können. Welche Aspekte wesentlich sind, hängt dabei von der Fragestellung ab, unter der die Daten betrachtet werden. Welche Partei wie viel Prozent der Stimmen erhalten hat, kann beispielweise mithilfe von Balken- oder Säulendiagrammen gut sichtbar gemacht werden. Ein Kreisdiagramm eignet sich weniger zur Visualisierung, wenn beispielsweise auf zwei Parteien ähnlich große Stimmanteile entfallen. In Balken- und Säulendiagrammen kann ein kleiner Unterschied bei den Stimmanteilen durch den Einsatz eines anderen Maßstabs hervorgehoben werden. Will man hingegen auf angedachte Koalitionen hinweisen, ist das Kreisdiagramm wiederum ein geeignetes Mittel zur Visualisierung. Es erlaubt die Stimmanteile von Parteien einer angedachten Koalition nebeneinander darzustellen und man sieht leicht, in welchem Verhältnis Regierung und Opposition in etwa gegenüberstünden. Dies ist bei Balken- und Säulendiagrammen nicht der Fall. </w:t>
      </w:r>
    </w:p>
    <w:p w:rsidR="000650E6" w:rsidRPr="000650E6" w:rsidRDefault="000650E6" w:rsidP="000650E6">
      <w:pPr>
        <w:widowControl w:val="0"/>
        <w:spacing w:after="120"/>
        <w:jc w:val="both"/>
        <w:rPr>
          <w:rFonts w:ascii="Arial" w:hAnsi="Arial"/>
          <w:sz w:val="22"/>
          <w:szCs w:val="22"/>
          <w:lang w:val="x-none" w:eastAsia="x-none"/>
        </w:rPr>
      </w:pPr>
      <w:r w:rsidRPr="000650E6">
        <w:rPr>
          <w:rFonts w:ascii="Arial" w:hAnsi="Arial"/>
          <w:sz w:val="22"/>
          <w:szCs w:val="22"/>
          <w:lang w:val="x-none" w:eastAsia="x-none"/>
        </w:rPr>
        <w:t>Weiterhin kommt es bei Balken- und Säulendiagrammen auch darauf an, wo sie platziert werden. Will man beispielsweise ein Diagramm in einem Fließtext unterbringen ohne diesen zu stark zu zerklüften, eignet sich das Balkendiagramm sehr gut. Es unterbricht den Lesefluss nicht derart, da es</w:t>
      </w:r>
      <w:r w:rsidRPr="000650E6">
        <w:rPr>
          <w:rFonts w:ascii="Arial" w:hAnsi="Arial"/>
          <w:sz w:val="22"/>
          <w:szCs w:val="22"/>
          <w:lang w:eastAsia="x-none"/>
        </w:rPr>
        <w:t>,</w:t>
      </w:r>
      <w:r w:rsidRPr="000650E6">
        <w:rPr>
          <w:rFonts w:ascii="Arial" w:hAnsi="Arial"/>
          <w:sz w:val="22"/>
          <w:szCs w:val="22"/>
          <w:lang w:val="x-none" w:eastAsia="x-none"/>
        </w:rPr>
        <w:t xml:space="preserve"> anderes als das Säulendiagramm</w:t>
      </w:r>
      <w:r w:rsidRPr="000650E6">
        <w:rPr>
          <w:rFonts w:ascii="Arial" w:hAnsi="Arial"/>
          <w:sz w:val="22"/>
          <w:szCs w:val="22"/>
          <w:lang w:eastAsia="x-none"/>
        </w:rPr>
        <w:t>,</w:t>
      </w:r>
      <w:r w:rsidRPr="000650E6">
        <w:rPr>
          <w:rFonts w:ascii="Arial" w:hAnsi="Arial"/>
          <w:sz w:val="22"/>
          <w:szCs w:val="22"/>
          <w:lang w:val="x-none" w:eastAsia="x-none"/>
        </w:rPr>
        <w:t xml:space="preserve"> von links nach rechts gelesen werden kann. Außerdem passt es sich, wenn nur wenige Parteien betrachtet werden, eher dem Format eines DIN-A-Blattes an. Man kann eine ganze Zeile nutzen, um Unterschiede zwischen den Stimmanteilen der Parteien zu visualisieren. Dadurch werden auch kleinere Unterschiede gut sichtbar. </w:t>
      </w:r>
    </w:p>
    <w:p w:rsidR="000650E6" w:rsidRPr="000650E6" w:rsidRDefault="000650E6" w:rsidP="000650E6">
      <w:pPr>
        <w:widowControl w:val="0"/>
        <w:spacing w:after="120"/>
        <w:jc w:val="both"/>
        <w:rPr>
          <w:rFonts w:ascii="Arial" w:hAnsi="Arial"/>
          <w:sz w:val="22"/>
          <w:szCs w:val="22"/>
          <w:lang w:val="x-none" w:eastAsia="x-none"/>
        </w:rPr>
      </w:pPr>
      <w:r w:rsidRPr="000650E6">
        <w:rPr>
          <w:rFonts w:ascii="Arial" w:hAnsi="Arial"/>
          <w:sz w:val="22"/>
          <w:szCs w:val="22"/>
          <w:lang w:val="x-none" w:eastAsia="x-none"/>
        </w:rPr>
        <w:t>Um die Gewichtung der Stimmen in verschiedenen Wahljahren zu visualisieren, eignet sich die Darstellung mittels verbundener Punkte im Koordinatensystem (siehe Abbildung 1). Mit dem Kreisdiagramm ist ein solcher Vergleich nicht möglich bzw. nicht sinnvoll darzustellen. Balken- und Säulendiagramme eignen sich nur dafür</w:t>
      </w:r>
      <w:r w:rsidRPr="000650E6">
        <w:rPr>
          <w:rFonts w:ascii="Arial" w:hAnsi="Arial"/>
          <w:sz w:val="22"/>
          <w:szCs w:val="22"/>
          <w:lang w:eastAsia="x-none"/>
        </w:rPr>
        <w:t>,</w:t>
      </w:r>
      <w:r w:rsidRPr="000650E6">
        <w:rPr>
          <w:rFonts w:ascii="Arial" w:hAnsi="Arial"/>
          <w:sz w:val="22"/>
          <w:szCs w:val="22"/>
          <w:lang w:val="x-none" w:eastAsia="x-none"/>
        </w:rPr>
        <w:t xml:space="preserve"> eine einzelne Partei über die Jahre zu betrachten.</w:t>
      </w:r>
    </w:p>
    <w:p w:rsidR="000650E6" w:rsidRPr="000650E6" w:rsidRDefault="000650E6" w:rsidP="000650E6">
      <w:pPr>
        <w:keepNext/>
        <w:widowControl w:val="0"/>
        <w:spacing w:after="120"/>
        <w:rPr>
          <w:rFonts w:ascii="Arial" w:hAnsi="Arial"/>
          <w:szCs w:val="20"/>
          <w:lang w:eastAsia="x-none"/>
        </w:rPr>
      </w:pPr>
      <w:r w:rsidRPr="000650E6">
        <w:rPr>
          <w:rFonts w:ascii="Arial" w:hAnsi="Arial"/>
          <w:noProof/>
          <w:szCs w:val="20"/>
          <w:lang w:eastAsia="x-none"/>
        </w:rPr>
        <w:lastRenderedPageBreak/>
        <w:drawing>
          <wp:inline distT="0" distB="0" distL="0" distR="0">
            <wp:extent cx="5414010" cy="3139440"/>
            <wp:effectExtent l="0" t="0" r="0" b="381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14010" cy="3139440"/>
                    </a:xfrm>
                    <a:prstGeom prst="rect">
                      <a:avLst/>
                    </a:prstGeom>
                    <a:noFill/>
                  </pic:spPr>
                </pic:pic>
              </a:graphicData>
            </a:graphic>
          </wp:inline>
        </w:drawing>
      </w:r>
    </w:p>
    <w:p w:rsidR="000650E6" w:rsidRPr="000650E6" w:rsidRDefault="000650E6" w:rsidP="000650E6">
      <w:pPr>
        <w:rPr>
          <w:rFonts w:ascii="Arial" w:hAnsi="Arial"/>
          <w:bCs/>
          <w:i/>
          <w:sz w:val="20"/>
          <w:szCs w:val="20"/>
        </w:rPr>
      </w:pPr>
      <w:r w:rsidRPr="000650E6">
        <w:rPr>
          <w:rFonts w:ascii="Arial" w:hAnsi="Arial"/>
          <w:bCs/>
          <w:i/>
          <w:sz w:val="20"/>
          <w:szCs w:val="20"/>
        </w:rPr>
        <w:t>Abbildung 1: Vergleich verschiedener Parteien über mehrere Jahre</w:t>
      </w:r>
    </w:p>
    <w:p w:rsidR="000650E6" w:rsidRPr="000650E6" w:rsidRDefault="000650E6" w:rsidP="000650E6">
      <w:pPr>
        <w:rPr>
          <w:rFonts w:ascii="Arial" w:hAnsi="Arial"/>
          <w:sz w:val="18"/>
        </w:rPr>
      </w:pPr>
    </w:p>
    <w:p w:rsidR="000650E6" w:rsidRPr="000650E6" w:rsidRDefault="000650E6" w:rsidP="000650E6">
      <w:pPr>
        <w:widowControl w:val="0"/>
        <w:spacing w:after="120"/>
        <w:jc w:val="both"/>
        <w:rPr>
          <w:rFonts w:ascii="Arial" w:hAnsi="Arial"/>
          <w:sz w:val="22"/>
          <w:szCs w:val="22"/>
          <w:lang w:eastAsia="x-none"/>
        </w:rPr>
      </w:pPr>
      <w:r w:rsidRPr="000650E6">
        <w:rPr>
          <w:rFonts w:ascii="Arial" w:hAnsi="Arial"/>
          <w:sz w:val="22"/>
          <w:szCs w:val="22"/>
          <w:lang w:val="x-none" w:eastAsia="x-none"/>
        </w:rPr>
        <w:t>Im Unterricht können solche und weitere Aspekte von Diagrammen zu Wahlergebnissen zum Thema gemacht werden. Hierzu können Aufgaben leicht antizipiert werden. Es bietet sich außerdem an, echte Darstellungen aus Zeitungsartikeln und anderen Medien zu verwenden. Hier lassen sich vermutlich noch weitere Darstellungsarten finden, z.</w:t>
      </w:r>
      <w:r w:rsidRPr="000650E6">
        <w:rPr>
          <w:rFonts w:ascii="Arial" w:hAnsi="Arial"/>
          <w:sz w:val="22"/>
          <w:szCs w:val="22"/>
          <w:lang w:eastAsia="x-none"/>
        </w:rPr>
        <w:t> </w:t>
      </w:r>
      <w:r w:rsidRPr="000650E6">
        <w:rPr>
          <w:rFonts w:ascii="Arial" w:hAnsi="Arial"/>
          <w:sz w:val="22"/>
          <w:szCs w:val="22"/>
          <w:lang w:val="x-none" w:eastAsia="x-none"/>
        </w:rPr>
        <w:t>B. wenn Wählerwanderungsbe</w:t>
      </w:r>
      <w:bookmarkStart w:id="0" w:name="_GoBack"/>
      <w:bookmarkEnd w:id="0"/>
      <w:r w:rsidRPr="000650E6">
        <w:rPr>
          <w:rFonts w:ascii="Arial" w:hAnsi="Arial"/>
          <w:sz w:val="22"/>
          <w:szCs w:val="22"/>
          <w:lang w:val="x-none" w:eastAsia="x-none"/>
        </w:rPr>
        <w:t>wegungen zwischen den einzelnen Parteien visualisiert werden oder die Wählerschaft einer Partei nach Alter oder anderen Kriterien analysiert wurde. Ein solches Vorgehen kann dazu beitragen, die Kompetenz</w:t>
      </w:r>
      <w:r w:rsidRPr="000650E6">
        <w:rPr>
          <w:rFonts w:ascii="Arial" w:hAnsi="Arial"/>
          <w:sz w:val="22"/>
          <w:szCs w:val="22"/>
          <w:lang w:eastAsia="x-none"/>
        </w:rPr>
        <w:t xml:space="preserve"> </w:t>
      </w:r>
      <w:r w:rsidRPr="000650E6">
        <w:rPr>
          <w:rFonts w:ascii="Arial" w:hAnsi="Arial"/>
          <w:i/>
          <w:sz w:val="22"/>
          <w:szCs w:val="22"/>
          <w:lang w:eastAsia="x-none"/>
        </w:rPr>
        <w:t>M</w:t>
      </w:r>
      <w:r w:rsidRPr="000650E6">
        <w:rPr>
          <w:rFonts w:ascii="Arial" w:hAnsi="Arial"/>
          <w:i/>
          <w:sz w:val="22"/>
          <w:szCs w:val="22"/>
          <w:lang w:val="x-none" w:eastAsia="x-none"/>
        </w:rPr>
        <w:t>athematische</w:t>
      </w:r>
      <w:r w:rsidRPr="000650E6">
        <w:rPr>
          <w:rFonts w:ascii="Arial" w:hAnsi="Arial"/>
          <w:i/>
          <w:sz w:val="22"/>
          <w:szCs w:val="22"/>
          <w:lang w:eastAsia="x-none"/>
        </w:rPr>
        <w:t xml:space="preserve"> </w:t>
      </w:r>
      <w:r w:rsidRPr="000650E6">
        <w:rPr>
          <w:rFonts w:ascii="Arial" w:hAnsi="Arial"/>
          <w:i/>
          <w:sz w:val="22"/>
          <w:szCs w:val="22"/>
          <w:lang w:val="x-none" w:eastAsia="x-none"/>
        </w:rPr>
        <w:t>Darstellungen</w:t>
      </w:r>
      <w:r w:rsidRPr="000650E6">
        <w:rPr>
          <w:rFonts w:ascii="Arial" w:hAnsi="Arial"/>
          <w:i/>
          <w:sz w:val="22"/>
          <w:szCs w:val="22"/>
          <w:lang w:eastAsia="x-none"/>
        </w:rPr>
        <w:t xml:space="preserve"> verwenden</w:t>
      </w:r>
      <w:r w:rsidRPr="000650E6">
        <w:rPr>
          <w:rFonts w:ascii="Arial" w:hAnsi="Arial"/>
          <w:sz w:val="22"/>
          <w:szCs w:val="22"/>
          <w:lang w:val="x-none" w:eastAsia="x-none"/>
        </w:rPr>
        <w:t xml:space="preserve"> (K4) zu vertiefen.</w:t>
      </w:r>
      <w:r w:rsidRPr="000650E6">
        <w:rPr>
          <w:rFonts w:ascii="Arial" w:hAnsi="Arial"/>
          <w:sz w:val="22"/>
          <w:szCs w:val="22"/>
          <w:lang w:eastAsia="x-none"/>
        </w:rPr>
        <w:t xml:space="preserve"> </w:t>
      </w:r>
      <w:r w:rsidRPr="000650E6">
        <w:rPr>
          <w:rFonts w:ascii="Arial" w:hAnsi="Arial"/>
          <w:sz w:val="22"/>
          <w:szCs w:val="22"/>
          <w:lang w:val="x-none" w:eastAsia="x-none"/>
        </w:rPr>
        <w:t>Im Kontext Wahl bietet das Problem der gerechten Sitzverteilung weitere Lernchancen. Vielen Schülerinnen und Schülern ist nicht bewusst, dass hier verschiedene Verfahren möglich sind. Ein Projekttag zur Wahl eines Jahrgangsparlamentes, ermöglicht die Diskussion über Alternativen (Katzenbach, M. (1998). Von Parteiengründung bis Sitzverteilung - ein Projekttag “Wahlen” im 8. Schuljahr. Mathematik lehren (88), 20 - 24)</w:t>
      </w:r>
      <w:r w:rsidRPr="000650E6">
        <w:rPr>
          <w:rFonts w:ascii="Arial" w:hAnsi="Arial"/>
          <w:sz w:val="22"/>
          <w:szCs w:val="22"/>
          <w:lang w:eastAsia="x-none"/>
        </w:rPr>
        <w:t>.</w:t>
      </w:r>
    </w:p>
    <w:p w:rsidR="00694A63" w:rsidRPr="005B2F65" w:rsidRDefault="00694A63" w:rsidP="000650E6">
      <w:pPr>
        <w:jc w:val="both"/>
        <w:rPr>
          <w:sz w:val="22"/>
          <w:szCs w:val="22"/>
        </w:rPr>
      </w:pP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2541853A-824D-4498-BD6C-D1844914591A}"/>
    <w:embedBold r:id="rId2" w:fontKey="{D62CA100-149F-4923-AA39-B45204F38AC5}"/>
    <w:embedItalic r:id="rId3" w:fontKey="{42DAD294-7FCB-418A-A0BE-936F3B4CF17E}"/>
    <w:embedBoldItalic r:id="rId4" w:fontKey="{016A7B11-D889-4107-974F-68AE0A2D2607}"/>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650E6"/>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58BAC5BA"/>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F15555-9F3C-40A7-88BD-13FB78E63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788</Words>
  <Characters>5229</Characters>
  <Application>Microsoft Office Word</Application>
  <DocSecurity>0</DocSecurity>
  <Lines>121</Lines>
  <Paragraphs>64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2025-07-23T12:58:00Z</dcterms:created>
  <dcterms:modified xsi:type="dcterms:W3CDTF">2025-07-23T12:58:00Z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